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F97">
        <w:rPr>
          <w:rFonts w:ascii="Times New Roman" w:hAnsi="Times New Roman" w:cs="Times New Roman"/>
          <w:b/>
          <w:bCs/>
          <w:sz w:val="24"/>
          <w:szCs w:val="24"/>
        </w:rPr>
        <w:t>Objaśnienia do  Wieloletniej Prognozy Finansowej Gminy Czerwonka na lata 2022-2028 z dnia 30.06.2022 r.</w:t>
      </w:r>
    </w:p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6F9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96F97" w:rsidRPr="00396F97" w:rsidRDefault="00396F97" w:rsidP="00396F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9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97">
        <w:rPr>
          <w:rFonts w:ascii="Times New Roman" w:hAnsi="Times New Roman" w:cs="Times New Roman"/>
          <w:sz w:val="24"/>
          <w:szCs w:val="24"/>
        </w:rPr>
        <w:tab/>
        <w:t>Zmiany do Wieloletniej Prognozy Finansowej zostały wprowadzone w związku z tym, że zostały zaktualizowane wartości przyjęte w Wieloletniej Prognozie Finansowej z wartościami przyjętymi w budżecie gminy na rok 2022.</w:t>
      </w:r>
    </w:p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6F9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6F97">
        <w:rPr>
          <w:rFonts w:ascii="Times New Roman" w:hAnsi="Times New Roman" w:cs="Times New Roman"/>
          <w:sz w:val="24"/>
          <w:szCs w:val="24"/>
        </w:rPr>
        <w:t>Planowana nadwyżka budżetowa w latach 2023 - 2028 przeznaczona będzie w całości na spłatę rat kapitałowych zaciągniętych kredytów i pożyczek.</w:t>
      </w:r>
    </w:p>
    <w:p w:rsidR="00396F97" w:rsidRPr="00396F97" w:rsidRDefault="00396F97" w:rsidP="00396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759D" w:rsidRDefault="00C2759D">
      <w:bookmarkStart w:id="0" w:name="_GoBack"/>
      <w:bookmarkEnd w:id="0"/>
    </w:p>
    <w:sectPr w:rsidR="00C2759D" w:rsidSect="0061234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9"/>
    <w:rsid w:val="00366679"/>
    <w:rsid w:val="00396F97"/>
    <w:rsid w:val="00C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C3EF-9E20-4ABB-BA22-3AC5EA6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2022-07-04T10:25:00Z</dcterms:created>
  <dcterms:modified xsi:type="dcterms:W3CDTF">2022-07-04T10:25:00Z</dcterms:modified>
</cp:coreProperties>
</file>